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FEC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NORME METODOLOGICE PRIVIND EFECTUAREA STAGIULUI PENTRU DOBÂNDIREA DREPTULUI DE SEMNĂTURĂ – 2018</w:t>
      </w:r>
    </w:p>
    <w:p w14:paraId="0ABC31E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Argument general</w:t>
      </w:r>
    </w:p>
    <w:p w14:paraId="70D42C0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Revizuirea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Normelor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privind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Efectuarea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Dobândirea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survine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după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trecerea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șaptesprezece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ani de la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înființarea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Arhitecților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România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Ordinul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)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nouă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ani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organizare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profesional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normelor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</w:p>
    <w:p w14:paraId="16AB28E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Experiența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acumulată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acest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precum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evoluția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organizației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profesiei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general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impun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recalibrarea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formării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continue.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Reevaluarea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profesional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dobândirii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constituie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un prim pas, fundamental,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spre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acest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obiectiv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</w:p>
    <w:p w14:paraId="3F4DA7B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Poziționarea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contextul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strategiei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organizaționale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esențială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Obiectivul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principal al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activității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formare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continuă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creșterea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calității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arhitecturii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inclusiv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practicarea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responsabilă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competentă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profesiei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. Prima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etapă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acestei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activități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calificarea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practică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prelungită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se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validează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</w:p>
    <w:p w14:paraId="21292534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Evaluarea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finală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doar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punctul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încheiere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demersului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calificare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Accentul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eforturilor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organizației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trebuie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pus pe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parcursul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calificare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Normele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lastRenderedPageBreak/>
        <w:t>revizuite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propun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asistare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mult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mai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consistentă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parcursul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</w:p>
    <w:p w14:paraId="4284F51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Dificultățile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actuale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efectuarea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sunt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datorate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atât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contextului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economic general,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cât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pieței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. Implicit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devin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necesare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condiții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flexibile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încurajarea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unor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modalități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alternative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calificare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Prezentele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promovează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deschiderea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spre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conexe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arhitecturii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spre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străinătate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administrația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publică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cât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spre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voluntariatul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profesional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</w:p>
    <w:p w14:paraId="01BA30F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Ordinul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definește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niveluri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competență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promovează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responsabilitatea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față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societate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practica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față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de sine –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dezvoltarea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personală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</w:p>
    <w:p w14:paraId="5EF6535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Definiţie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scop</w:t>
      </w:r>
    </w:p>
    <w:p w14:paraId="2AE927D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tranziție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academică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autonomă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DAA937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un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proces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coordonat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supervizat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destinat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întărească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completeze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cunoștințele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aptitudinile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judecata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disciplina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integritatea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premergător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obținerii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3E8EC3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desfășoară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sub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supravegherea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minimum 5 ani, ales 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denumit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continuare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9BAD09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interesul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acestuia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EE1568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(5)       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trebui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practice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măsură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să-și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personal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independent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ofere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un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nivel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înalt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serviciilor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5C11D76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(6)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pot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prestarea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tuturor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considerată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minim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parcurgerea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așa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cum sunt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definite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Sistemului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Informații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asupra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Costurilor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(SIC),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aprobate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hotărâre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Consiliului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4C93F5FB" w14:textId="77777777" w:rsidR="00E04CEB" w:rsidRPr="00E04CEB" w:rsidRDefault="00E04CEB" w:rsidP="00E0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Etapa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preliminară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asimilată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Anteproiect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1.1)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1.1 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Tema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ofertare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1.2. 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Oferta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economică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1.3 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Acceptarea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ofertei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încheierea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contactului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1.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4  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Analiza</w:t>
      </w:r>
      <w:proofErr w:type="spellEnd"/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contextului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urbanistic,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legislativ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 </w:t>
      </w:r>
    </w:p>
    <w:p w14:paraId="63508E46" w14:textId="77777777" w:rsidR="00E04CEB" w:rsidRPr="00E04CEB" w:rsidRDefault="00E04CEB" w:rsidP="00E0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Etapa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pregătitoare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asimilată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Anteproiect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1.2)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2.1. 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Tema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preliminară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2.2. 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studii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2.3.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Specialiști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implicați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elaborarea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2.4.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Ilustrarea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2.5. 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Bugetare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costuri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investiție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2.6. 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Planificarea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investiției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2.7. 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Releveu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 </w:t>
      </w:r>
    </w:p>
    <w:p w14:paraId="246F0972" w14:textId="77777777" w:rsidR="00E04CEB" w:rsidRPr="00E04CEB" w:rsidRDefault="00E04CEB" w:rsidP="00E0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Etapa concept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asimilată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Anteproiect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1.3)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3.1. 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Conceptul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general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3.2. 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Planificarea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investiției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 </w:t>
      </w:r>
    </w:p>
    <w:p w14:paraId="52CA111C" w14:textId="77777777" w:rsidR="00E04CEB" w:rsidRPr="00E04CEB" w:rsidRDefault="00E04CEB" w:rsidP="00E0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Etapa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definitiv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asimilată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Anteproiect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1.4)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4.1. 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Tema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detaliată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definitivă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4.2. 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definitiv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nivel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schematic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4.3. 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Planificarea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investiției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4.4. 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realizarea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4.5. 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Coordonarea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preliminară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 </w:t>
      </w:r>
    </w:p>
    <w:p w14:paraId="2CFF4FF1" w14:textId="77777777" w:rsidR="00E04CEB" w:rsidRPr="00E04CEB" w:rsidRDefault="00E04CEB" w:rsidP="00E0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Etapa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autorizare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Autorizarea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Lucrărilor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DTAC;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Autorizarea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Lucrărilor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Demolare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DTAD;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Lucrărilor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DTOE)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5.1.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autorizare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5.2. 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Estimarea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costurilor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 </w:t>
      </w:r>
    </w:p>
    <w:p w14:paraId="59AA9230" w14:textId="77777777" w:rsidR="00E04CEB" w:rsidRPr="00E04CEB" w:rsidRDefault="00E04CEB" w:rsidP="00E0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Etapa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ofertare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asimilată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6.1. 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6.2. 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Coordonarea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 </w:t>
      </w:r>
    </w:p>
    <w:p w14:paraId="7FB719C5" w14:textId="77777777" w:rsidR="00E04CEB" w:rsidRPr="00E04CEB" w:rsidRDefault="00E04CEB" w:rsidP="00E0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Etapa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asimilată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etapei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Detalii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7.1.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detaliu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7.2. 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Coordonarea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detaliu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7.3. Plan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sănătate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securitate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(SSM)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 </w:t>
      </w:r>
    </w:p>
    <w:p w14:paraId="2E648EB5" w14:textId="77777777" w:rsidR="00E04CEB" w:rsidRPr="00E04CEB" w:rsidRDefault="00E04CEB" w:rsidP="00E04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Etapa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asistență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8.1. 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Participarea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fazele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determinante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8.2. 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Supravegherea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modalității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lucrărilor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8.3. Project management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8.4.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Recepția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terminarea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lucrărilor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br/>
        <w:t>8.5. 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Punerea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funcțiune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folosință</w:t>
      </w:r>
      <w:proofErr w:type="spellEnd"/>
    </w:p>
    <w:p w14:paraId="62C37E3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(7)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parcurgerea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trebuie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asigure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antrenarea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tuturor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caracterizează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independentă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conformitate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Directiva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2005/36/CE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Parlamentului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European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Consiliului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7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septembrie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2005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recunoașterea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calificărilor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Aceleași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sunt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recunoscute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unanim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Adunarea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Generală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Uniunii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Internaționale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UIA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Standardele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Recomandate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Profesionalism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operativitate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11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Directiva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2005/36/CE,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16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abilități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cunoștințe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cuprinse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UIA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nr.2), au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fost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regrupate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șapte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00CDA9E6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doctrinare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reunește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ating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fundamentele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sistemice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conexe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nivelul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esteticii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istoriei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teoriei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conexe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frumoase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influenței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acestora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reciproc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6CFB8C9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sensul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larg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cuprinde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lângă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deprinderile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intrinseci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înțelegerea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problemelor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inginerie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asociate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clădirilor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stăpânirea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fizicii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tehnologiilor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climat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interior,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corelarea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normative,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cercetarea-investigarea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cunoașterea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industriilor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asociate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pot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furniza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soluții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organizațiilor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precum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reglementări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proceduri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creativității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bazată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cunoașterea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comprehensivă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disciplinelor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094D1A88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c)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ecologice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regăsesc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elementele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contribuie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caracterul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durabil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privește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sustenabilă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ecologic,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acțiuni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concertate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țintite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conservarea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reabilitarea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mediului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6DFF8FB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d)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relaționale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sunt reunite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determinate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primul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relațiile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rețea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fie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regăsesc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planificare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urbană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relația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oameni-clădiri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clădiri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-context,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raportarea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scara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umană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adresează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rolului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societate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temelor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considerare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factorii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sociali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corelarea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reglementările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normative,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înțelegerea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profundă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responsabilității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valorile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umane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sociale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culturale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urbanistice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patrimoniu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00398E84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manageriale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management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leadership sunt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uneori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puțin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evidente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manifestă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contemporan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cercetarea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/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investigarea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elaborarea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temei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corelarea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reglementări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normative,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proceduri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coordonarea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corelarea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specialitățile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conexe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cunoașterea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comprehensivă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disciplinelor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tehnicilor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însoțirea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procesului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stăpânirea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procesului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livrare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managementul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3B1D1D6B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f)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economice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reunește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aptitudini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corelare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costurilor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cerințele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definite,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cunoștințe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despre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modalitățile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finanțare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controlul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costurilor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cunoașterea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procesului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livrare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66FE65F1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g)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juridice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cuprinde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înțelegere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formulare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principiilor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contractuale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aptitudini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negociere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clauzelor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cunoașterea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ierarhiei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normative,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prevalenței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juridice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asupra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altora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principii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ajutorul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cărora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gestionarea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procesului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livrare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relaționarea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instituțională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socială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așezată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baze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stabile,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comune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recunoscute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899AF2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2.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Înscrierea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arhitecţilor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stagiari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Ordin</w:t>
      </w:r>
      <w:proofErr w:type="spellEnd"/>
    </w:p>
    <w:p w14:paraId="4AE08A5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dobândirii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domiciliul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conformitate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art. 63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Regulamentul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funcționare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328D18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calcula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momentul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depune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individual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convenția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baza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cărora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realizează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conformitate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FFBD7C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ține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Registrul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înscris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Registrul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domiciliu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întreaga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B92BB8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Registrul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implică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plata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cotizației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anuale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angajamentului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731CF3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(5)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înscrisurile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utiliza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abrevierea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“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 stag.”.</w:t>
      </w:r>
    </w:p>
    <w:p w14:paraId="0CE827C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ART.3.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Localizarea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stagiului</w:t>
      </w:r>
      <w:proofErr w:type="spellEnd"/>
    </w:p>
    <w:p w14:paraId="414B0E94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     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aria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geografică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acoperire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domiciliu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apartenență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afara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777B255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geografică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decât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apartenență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facilita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participarea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serviciile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asistare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raportare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solicita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detașarea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filiala-gazdă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A53A7A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(2)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două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niveluri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gestiune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0653D564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componenta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administrativă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gestionată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înscris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domiciliază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înscriere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plata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cotizației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acțiuni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administrative;</w:t>
      </w:r>
    </w:p>
    <w:p w14:paraId="592E0C6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componenta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monitorizare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raportare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parcurs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gestionată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filiala-gazdă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solicitat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detașarea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desfășoară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alături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69DE823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excepția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specificări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referirile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interpretate ca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desemnând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desfășoară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 (1).</w:t>
      </w:r>
    </w:p>
    <w:p w14:paraId="02DF6D1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4.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Obiectivul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durata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stagiului</w:t>
      </w:r>
      <w:proofErr w:type="spellEnd"/>
    </w:p>
    <w:p w14:paraId="506803A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Obiectivul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asigurarea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parcurgerii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caracterizează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independentă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indicate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ART. 1.</w:t>
      </w:r>
    </w:p>
    <w:p w14:paraId="4161461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principală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atingerea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obiectivului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(1)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revine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BCB773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minimă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24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douăzeci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întreagă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7AA3B8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raportat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module de minimum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șase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8BB424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(5)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Compunerea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intervale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scurte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aprobată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păstrând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obligativitatea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raportării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șase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cumulate,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deodată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2EA5E2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(6)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prelungită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cererea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3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nu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acoperit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/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nu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atins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nivelul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caracterizează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independentă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decursul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24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dorește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extindă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experiența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într-unul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ART. 1.</w:t>
      </w:r>
    </w:p>
    <w:p w14:paraId="742AFF7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(7)       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încheierea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minime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înscris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automat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secțiunea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„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fără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”,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dacă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nu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solicitat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prelungirea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098723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(8)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aceleași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aplicanții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363B3D3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5.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Efectuarea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stagiului</w:t>
      </w:r>
      <w:proofErr w:type="spellEnd"/>
    </w:p>
    <w:p w14:paraId="02F696C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salariat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biroului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societății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comerciale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având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principală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secundară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desfășoară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ca 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titular,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asociat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administrator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903CE3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(2)      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realiza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sub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minimum 5 ani, 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acceptat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20B50C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Relația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subordonare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constituie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sine qua non</w:t>
      </w: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asimilarea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eticii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727AF1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întreagă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40 de ore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săptămână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fracționată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conform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crește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multiplicare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factorul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corespunzător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876329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(5)       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recomandă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alocarea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număr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puțin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8 ore/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specifice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precum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participări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cursuri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îndeplinirea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administrative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autoevaluare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raportare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980C91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6.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Modificarea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desfăşurării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stagiului</w:t>
      </w:r>
      <w:proofErr w:type="spellEnd"/>
    </w:p>
    <w:p w14:paraId="5CAE59B4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schimba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implicit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localizarea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geografică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unde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7B4480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modificare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privește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trebuie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anunțată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termen de maximum 15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cincisprezece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zile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A3AFA4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7.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Suspendarea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stagiului</w:t>
      </w:r>
      <w:proofErr w:type="spellEnd"/>
    </w:p>
    <w:p w14:paraId="53A013D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suspendat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cererea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suspendării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individual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acestuia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conform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Codului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F25F2B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suspendat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oficiu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îndeplinește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îndatoririle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DDD985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8.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alte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state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europene</w:t>
      </w:r>
      <w:proofErr w:type="spellEnd"/>
    </w:p>
    <w:p w14:paraId="292957F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integral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parțial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state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membre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Uniunii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Europene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Spațiului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Economic European (SEE)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Confederația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Elvețiană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numai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prealabil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220278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Cererea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aprobarea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(1)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trebuie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datele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verificării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conținutului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precum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onorabilității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angajamentului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numele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complet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care face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numărul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înregistrare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membru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(similar TNA)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data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înregistrării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calitatea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/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rolul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companiei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angajatoare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69816A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Art. 9.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conexe</w:t>
      </w:r>
      <w:proofErr w:type="spellEnd"/>
    </w:p>
    <w:p w14:paraId="63A973C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1) 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parcurgerea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tuturor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putând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lângă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într-unul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următoarele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conexe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76CCAB0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urbanism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peisagistică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căruia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exercitarea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mod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autonom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atestare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suplimentară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diplomei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studii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24CB36A4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conservarea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patrimoniului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cultural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birouri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ateliere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restaurare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căruia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exercitarea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mod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autonom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atestare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suplimentară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diplomei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studii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22FC037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c)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inginerie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civilă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conex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căruia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exercitarea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mod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autonom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obținerea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diplome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studii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superioare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specifice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91E2741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parțială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conexe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(1)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realiza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prealabil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 184/2001,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republicată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4D4AA7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totală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conexe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depăși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12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douăsprezece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D9CD731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(4)      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obținerii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parțial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conexe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trebui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echivalentul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până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totalul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minim de 24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douăzeci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generale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4F880F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10.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Reducerea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duratei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efectuare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stagiului</w:t>
      </w:r>
      <w:proofErr w:type="spellEnd"/>
    </w:p>
    <w:p w14:paraId="4C77670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dobândit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experiență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neîndrumată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administrația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publică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baza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contract individual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solicita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reducerea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BB9653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obținut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diplomă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doctor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solicita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reducerea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26BF23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dobândit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experiență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voluntariat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oricare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dintre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acceptate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solicita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reducerea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minime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conformitate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 78/2014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reglementarea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voluntariat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 184/2001,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republicată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238645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voluntariat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pot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avea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loc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țară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afara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țării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suplimentară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ART. 8.</w:t>
      </w:r>
    </w:p>
    <w:p w14:paraId="786E9CE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(5)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reducerii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potrivit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(1)-(4),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obținerii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echivalentul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până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totalul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minim de 24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douăzeci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generale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685F30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11.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Cursuri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pregătire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formare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</w:t>
      </w:r>
      <w:proofErr w:type="spellEnd"/>
    </w:p>
    <w:p w14:paraId="1BCA2F4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Participarea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puțin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an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obligatorie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684DD2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Participarea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cursuri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conferințe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completeze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obligatorii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indicate la ART. 1, se face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inițiativa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224447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12.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Asigurarea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îndrumării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profesionale</w:t>
      </w:r>
      <w:proofErr w:type="spellEnd"/>
    </w:p>
    <w:p w14:paraId="6464086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     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alege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liber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opțiunea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personală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interesele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CA47DC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mod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gratuit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angajamentul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inclusiv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îndeplini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formalitățile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administrative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decurg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angajament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D7A84B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13.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Convenţia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</w:t>
      </w:r>
      <w:proofErr w:type="spellEnd"/>
    </w:p>
    <w:p w14:paraId="6041AA7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încheia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convenție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nr.4),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exemplare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fiecare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semnatar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23525D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Convenția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specifice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părților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BF9930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14.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Contractul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stagiarului</w:t>
      </w:r>
      <w:proofErr w:type="spellEnd"/>
    </w:p>
    <w:p w14:paraId="108B53C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recomandă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includerea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clauze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specifice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 .3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individual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încheiat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C19F56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Clauzele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specifice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suplimentare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angajatorului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îndeplinirii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cerințelor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regulamentare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AE735E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conformitatea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ART. 17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(6)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Codul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pot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asista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negocierea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încheierea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modificarea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individual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stabilirii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clauzelor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specifice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30C749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15.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Îndatoririle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stagiar</w:t>
      </w:r>
      <w:proofErr w:type="spellEnd"/>
    </w:p>
    <w:p w14:paraId="7FE217E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durata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următoarele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1FBCD31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îndatoririle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Convenția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nr.4) precum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individual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29FAD3B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depună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rapoartele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nr.7)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celelalte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stabilite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dispoziții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materie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termenul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stabilit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6994D28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c)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înștiințeze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despre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schimbare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intervine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derularea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inclusiv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suspendarea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finalizarea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modificarea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1231AF0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d)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frecventeze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cursurile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conferinţele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dedicate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pregătirii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cuprinde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expuneri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asupra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legislaţiei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specifice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construcţiei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asupra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aplicare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detalia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procesului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715766B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16.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Îndatoririle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îndrumătorului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</w:t>
      </w:r>
      <w:proofErr w:type="spellEnd"/>
    </w:p>
    <w:p w14:paraId="2D6CA18B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     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semneazî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convenţia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alături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3B7E0D9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recomandă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numele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individual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încheiat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angajator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DDC2741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avea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următoarele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31DADAC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urmărească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personal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desăvârșirea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determinând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participarea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acestuia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realizarea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fazele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concepție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recepția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lucrărilor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cuprinzând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inclusiv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realizarea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demersurilor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  administrative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urmărirea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șantier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enumerarea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fiind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ne-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exhaustivă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);</w:t>
      </w:r>
    </w:p>
    <w:p w14:paraId="3408E3C8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spiritul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deontologiei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54174C6B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c)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informeze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obiectivitate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corectitudine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asupra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parcursului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comportamentului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asupra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-a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îndeplinit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încredințate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1CDB79C4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d)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valideze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contrasemnare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raportul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nr.7) pe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transmită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precum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solicită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conformitate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2ADB2653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e)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transmită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semestrial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proprie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sinteză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nr.8);</w:t>
      </w:r>
    </w:p>
    <w:p w14:paraId="345A1AF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f)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înștiințeze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despre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schimbare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interveni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din culpa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derularea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despre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suspendarea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sfârșitul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imposibilitatea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 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continua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etc.</w:t>
      </w:r>
    </w:p>
    <w:p w14:paraId="7FCA37C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mult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același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timp.</w:t>
      </w:r>
      <w:proofErr w:type="spellEnd"/>
    </w:p>
    <w:p w14:paraId="0BCA74E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Art. 17.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Atribuţiile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pregătirea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stagiarilor</w:t>
      </w:r>
      <w:proofErr w:type="spellEnd"/>
    </w:p>
    <w:p w14:paraId="70F4ABB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împreună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obligaţia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conferințe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cuprinzând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expuneri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asupra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tematicii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stabilite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Colegiul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aplicaţii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practice.</w:t>
      </w:r>
    </w:p>
    <w:p w14:paraId="756D9DB1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Conferinţele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constituie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947914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 (3)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Consiliul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conducere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fiecărei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desemnează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un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99E168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verifica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 priori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periodic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parcursul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atât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cât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0D2436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(5)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dobândirii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întocmi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un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dosar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cuprinde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Regulamentul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Funcționare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D70BFE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(6)        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finalizarea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verifică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îndeplinirea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tuturor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precum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conformitatea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aflate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dosarul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acestuia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înaintării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dosarului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697DDF1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(7)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detașat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verificării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descrisă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(6),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filialei-gazdă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transmite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dosarul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înscris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înaintării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           </w:t>
      </w:r>
    </w:p>
    <w:p w14:paraId="1CE3A88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(8)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funcționează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organism independent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acumulate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vederea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dobândirii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4C62274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(9)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avea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dispoziție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dosarul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complet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024B84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(10)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sesiuni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instruire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adresate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interviului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obținerea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BBF14A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18.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Monitorizarea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validarea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stagiului</w:t>
      </w:r>
      <w:proofErr w:type="spellEnd"/>
    </w:p>
    <w:p w14:paraId="2C870FE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validează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rapoartele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intermediare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depuse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precum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obligatorii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depuse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termen de 30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zile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primire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478BE5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     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rapoartelor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intermediare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depuse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solicita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clarificări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formula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recomandări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îmbunătăţire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activităţii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desfăşurate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facilita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dobândirea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tuturor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competenţelor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caracterizează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independentă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372C0C9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Art.19.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Modalităţi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evaluare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stagiarilor</w:t>
      </w:r>
      <w:proofErr w:type="spellEnd"/>
    </w:p>
    <w:p w14:paraId="2FECD58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desfășoară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nivelul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desfășoară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analizei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următoarelor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2BC8648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raportul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nr.7)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contrasemnat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însoțit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fișele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nr.6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nr.5);</w:t>
      </w:r>
    </w:p>
    <w:p w14:paraId="41C44EC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sinteză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realizată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depusă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semestrial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Anexa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nr.8);</w:t>
      </w:r>
    </w:p>
    <w:p w14:paraId="230EFEB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c)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participarea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formare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continuă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14D69F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desfășoară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nivelul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61E74C9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susținerea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interviului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fața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trimestrial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structurat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conform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01726CF1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analiza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portofoliului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lucrări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interviului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opțiunea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conform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DCA077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dezvoltarea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intermediul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parcurgerii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misiunilor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, conform ART. 1.</w:t>
      </w:r>
    </w:p>
    <w:p w14:paraId="6A8DE0C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20.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naţională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semnătură</w:t>
      </w:r>
      <w:proofErr w:type="spellEnd"/>
    </w:p>
    <w:p w14:paraId="5FF561F6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numește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Consiliul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propunerea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Colegiului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3BC01EB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Membrii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sunt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exercitat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puțin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5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cinci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ani, care nu au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fost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sancționați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disciplinar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ultimii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10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zece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) ani.</w:t>
      </w:r>
    </w:p>
    <w:p w14:paraId="3EA26F4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elaborează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pe care 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supune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aprobare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Consiliului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8931D7A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(3)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publicat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website-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website-urile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EDEBDB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21.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Suspendarea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sancţiuni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administrative</w:t>
      </w:r>
    </w:p>
    <w:p w14:paraId="0221F593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(1)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suspendă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neîndeplinirii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revin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după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cum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6BD6A9D1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nedepunerii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semestriale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termen de maxim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calendaristică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încheierea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modulului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semestrial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253DB79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neparticipării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mod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conferințele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BB894E3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neîndeplinirea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revin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sancționat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suspendarea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perioadă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6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luni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0334A66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nepredării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sinteză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termen de maximum 30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zile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încheierea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modulului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semestrial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înaintată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termen;</w:t>
      </w:r>
    </w:p>
    <w:p w14:paraId="15E174E6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b)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refuzului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participa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răspunde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două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convocări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consecutive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întâlniri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clarificarea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aspectelor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legate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omisiunea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răspunsului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consideră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refuz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054E521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c)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neînștiințării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căreia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efectuează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schimbare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interveni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desfășurarea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din culpa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termen de 30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zile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8B0A948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neîndeplinirea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mod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repetat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revin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transmiterea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rezoluției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asupra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documentelor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complete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necesare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etapei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supuse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termen de 30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treizeci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zile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primirea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acestora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sancționat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retragerea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calității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  </w:t>
      </w:r>
    </w:p>
    <w:p w14:paraId="1C5AEFF9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(4)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Sancțiunea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(3)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dispusă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Consiliul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conducere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filialei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aparține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;</w:t>
      </w:r>
    </w:p>
    <w:p w14:paraId="67B4DB8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(5)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neîndeplinirii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obligației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elaborare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Regulamentului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Intern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Funcționare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Criteriilor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Evaluare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Competențelor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termen de 135 (o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sută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treizeci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cinci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zile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Efectuarea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pentru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Dobândirea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membrii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sancționați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corpore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decăderea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055B89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(6)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Decăderea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din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membrilor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condițiile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(5)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constatată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Consiliul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urmând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numită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nouă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397FCDC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(7)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Deciziile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sancționare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administrativă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pot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contestate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Colegiul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 al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termen de 15 (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cincisprezece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)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zile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comunicare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8CC42A3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22.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Sacţiuni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disciplinare</w:t>
      </w:r>
      <w:proofErr w:type="spellEnd"/>
    </w:p>
    <w:p w14:paraId="5F254253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(1)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membrii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Acordare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răspund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disciplinar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membri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conformitate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Legii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 184/2001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Regulamentului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Funcționare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36E658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(2)      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Împotriva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hotărârilor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aplicare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sancțiunilor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disciplinare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Disciplină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după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caz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Comisiei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Naționale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Disciplină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se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poate</w:t>
      </w:r>
      <w:proofErr w:type="spellEnd"/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formula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contestație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potrivit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 184/2001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ale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Regulamentului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Organizare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Funcționare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D3AFF0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Art. 23.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Dispoziţii</w:t>
      </w:r>
      <w:proofErr w:type="spellEnd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tranzitorii</w:t>
      </w:r>
      <w:proofErr w:type="spellEnd"/>
    </w:p>
    <w:p w14:paraId="4B55C452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Art. 23.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Dispoziții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tranzitorii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  ⃰</w:t>
      </w:r>
      <w:proofErr w:type="gramEnd"/>
    </w:p>
    <w:p w14:paraId="34595A67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(1)        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aplică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începute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după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data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acestora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62EDE860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(2)      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începute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anterior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fi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guvernate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legale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data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începerii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acestora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respectiv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înregistrării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primului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contract individual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muncă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convenției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Ordin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5BF8853D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(3)      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art. 23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(2),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nefinalizate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data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pot fi continuate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birourilor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cadrul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societăților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comerciale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având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principală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secundară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proiectarea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desfășoară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activitatea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 titular,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asociat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administrator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angajat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îndrumătorul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său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81C513F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(4)       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art. 23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(2),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nefinalizate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data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pot fi continuate sub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îndrumarea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unui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arhitect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drept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semnătură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cu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practică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profesională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minimum 5 ani, care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este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acceptat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către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responsabilul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165C0CB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(5)        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prevăzute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art. 23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. (2),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nefinalizate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data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pot fi continuate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domenii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specialitate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sau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conexe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7A1FC98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* </w:t>
      </w:r>
      <w:proofErr w:type="spellStart"/>
      <w:proofErr w:type="gram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modificat</w:t>
      </w:r>
      <w:proofErr w:type="spellEnd"/>
      <w:proofErr w:type="gram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Hotărârea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Consiliului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național</w:t>
      </w:r>
      <w:proofErr w:type="spell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nr. 459 </w:t>
      </w:r>
      <w:proofErr w:type="gramStart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din</w:t>
      </w:r>
      <w:proofErr w:type="gramEnd"/>
      <w:r w:rsidRPr="00E04CE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18.03.2019</w:t>
      </w:r>
    </w:p>
    <w:p w14:paraId="7C642CAE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(6)       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excepție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prevederile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art. 23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alin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(2),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stagiile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începute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anterior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prezentelor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metodologice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și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nefinalizate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până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la data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intrării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vigoare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Decretului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nr. 195 din 16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martie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2020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privind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instituirea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stării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urgență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pe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teritoriul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României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care sunt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executate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fragmentat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vor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putea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avea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discontinuitatea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timp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între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etape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mari</w:t>
      </w:r>
      <w:proofErr w:type="spell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de 1 an.</w:t>
      </w:r>
    </w:p>
    <w:p w14:paraId="2A130AC5" w14:textId="77777777" w:rsidR="00E04CEB" w:rsidRPr="00E04CEB" w:rsidRDefault="00E04CEB" w:rsidP="00E04C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*</w:t>
      </w:r>
      <w:proofErr w:type="spellStart"/>
      <w:proofErr w:type="gram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modificat</w:t>
      </w:r>
      <w:proofErr w:type="spellEnd"/>
      <w:proofErr w:type="gramEnd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04CEB">
        <w:rPr>
          <w:rFonts w:ascii="Arial" w:eastAsia="Times New Roman" w:hAnsi="Arial" w:cs="Arial"/>
          <w:color w:val="000000"/>
          <w:kern w:val="0"/>
          <w14:ligatures w14:val="none"/>
        </w:rPr>
        <w:t>prin</w:t>
      </w:r>
      <w:proofErr w:type="spellEnd"/>
    </w:p>
    <w:p w14:paraId="2950C2FB" w14:textId="6F791A30" w:rsidR="00814D2A" w:rsidRDefault="00E04CEB">
      <w:r>
        <w:t>HCN nr 80 din 18.01.2021</w:t>
      </w:r>
    </w:p>
    <w:sectPr w:rsidR="00814D2A" w:rsidSect="00325CEF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6F9"/>
    <w:multiLevelType w:val="multilevel"/>
    <w:tmpl w:val="72D0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20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EB"/>
    <w:rsid w:val="00325CEF"/>
    <w:rsid w:val="00325CF0"/>
    <w:rsid w:val="003402E3"/>
    <w:rsid w:val="00814D2A"/>
    <w:rsid w:val="00E0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CB85"/>
  <w15:chartTrackingRefBased/>
  <w15:docId w15:val="{D96AA25F-E2C9-48C6-B918-D5F8CC61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4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E04C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4CE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04CE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E04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5072</Words>
  <Characters>28911</Characters>
  <Application>Microsoft Office Word</Application>
  <DocSecurity>0</DocSecurity>
  <Lines>240</Lines>
  <Paragraphs>67</Paragraphs>
  <ScaleCrop>false</ScaleCrop>
  <Company/>
  <LinksUpToDate>false</LinksUpToDate>
  <CharactersWithSpaces>33916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 PRAHOVA</dc:creator>
  <cp:keywords/>
  <dc:description/>
  <cp:lastModifiedBy>OAR PRAHOVA</cp:lastModifiedBy>
  <cp:revision>1</cp:revision>
  <dcterms:created xsi:type="dcterms:W3CDTF">2023-04-24T10:21:00Z</dcterms:created>
  <dcterms:modified xsi:type="dcterms:W3CDTF">2023-04-24T10:22:00Z</dcterms:modified>
</cp:coreProperties>
</file>